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5D8" w:rsidRDefault="00CC65D8" w:rsidP="00391DCB">
      <w:pPr>
        <w:spacing w:line="240" w:lineRule="auto"/>
        <w:jc w:val="both"/>
        <w:rPr>
          <w:rFonts w:ascii="Tahoma" w:hAnsi="Tahoma" w:cs="Tahoma"/>
          <w:b/>
          <w:sz w:val="20"/>
          <w:szCs w:val="32"/>
        </w:rPr>
      </w:pPr>
    </w:p>
    <w:p w:rsidR="00AD277B" w:rsidRPr="00AD277B" w:rsidRDefault="00364620" w:rsidP="00391DCB">
      <w:pPr>
        <w:spacing w:line="240" w:lineRule="auto"/>
        <w:jc w:val="both"/>
        <w:rPr>
          <w:rFonts w:ascii="Tahoma" w:hAnsi="Tahoma" w:cs="Tahoma"/>
          <w:b/>
          <w:sz w:val="20"/>
          <w:szCs w:val="32"/>
        </w:rPr>
      </w:pPr>
      <w:r w:rsidRPr="00AD277B">
        <w:rPr>
          <w:rFonts w:ascii="Tahoma" w:hAnsi="Tahoma" w:cs="Tahoma"/>
          <w:b/>
          <w:sz w:val="20"/>
          <w:szCs w:val="32"/>
        </w:rPr>
        <w:t xml:space="preserve">A </w:t>
      </w:r>
      <w:r w:rsidR="00AD277B" w:rsidRPr="00AD277B">
        <w:rPr>
          <w:rFonts w:ascii="Tahoma" w:hAnsi="Tahoma" w:cs="Tahoma"/>
          <w:b/>
          <w:sz w:val="20"/>
          <w:szCs w:val="32"/>
        </w:rPr>
        <w:t>T</w:t>
      </w:r>
      <w:r w:rsidRPr="00AD277B">
        <w:rPr>
          <w:rFonts w:ascii="Tahoma" w:hAnsi="Tahoma" w:cs="Tahoma"/>
          <w:b/>
          <w:sz w:val="20"/>
          <w:szCs w:val="32"/>
        </w:rPr>
        <w:t xml:space="preserve">odo </w:t>
      </w:r>
      <w:r w:rsidR="00AD277B" w:rsidRPr="00AD277B">
        <w:rPr>
          <w:rFonts w:ascii="Tahoma" w:hAnsi="Tahoma" w:cs="Tahoma"/>
          <w:b/>
          <w:sz w:val="20"/>
          <w:szCs w:val="32"/>
        </w:rPr>
        <w:t>T</w:t>
      </w:r>
      <w:r w:rsidRPr="00AD277B">
        <w:rPr>
          <w:rFonts w:ascii="Tahoma" w:hAnsi="Tahoma" w:cs="Tahoma"/>
          <w:b/>
          <w:sz w:val="20"/>
          <w:szCs w:val="32"/>
        </w:rPr>
        <w:t>ri</w:t>
      </w:r>
      <w:r w:rsidR="00AD277B" w:rsidRPr="00AD277B">
        <w:rPr>
          <w:rFonts w:ascii="Tahoma" w:hAnsi="Tahoma" w:cs="Tahoma"/>
          <w:b/>
          <w:sz w:val="20"/>
          <w:szCs w:val="32"/>
        </w:rPr>
        <w:t>go 2018</w:t>
      </w:r>
    </w:p>
    <w:p w:rsidR="008138B8" w:rsidRPr="008138B8" w:rsidRDefault="000A4810" w:rsidP="0058226A">
      <w:pPr>
        <w:spacing w:line="240" w:lineRule="auto"/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Cultivos de invierno, una paleta </w:t>
      </w:r>
      <w:r w:rsidR="0058226A">
        <w:rPr>
          <w:rFonts w:ascii="Tahoma" w:hAnsi="Tahoma" w:cs="Tahoma"/>
          <w:b/>
          <w:sz w:val="32"/>
          <w:szCs w:val="32"/>
        </w:rPr>
        <w:t>de posibilidades que contribuye al sistema productivo</w:t>
      </w:r>
    </w:p>
    <w:p w:rsidR="00556EE4" w:rsidRDefault="00D309A9" w:rsidP="008138B8">
      <w:pPr>
        <w:spacing w:line="240" w:lineRule="auto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E</w:t>
      </w:r>
      <w:r w:rsidR="00995F32">
        <w:rPr>
          <w:rFonts w:ascii="Tahoma" w:hAnsi="Tahoma" w:cs="Tahoma"/>
          <w:i/>
          <w:sz w:val="24"/>
          <w:szCs w:val="24"/>
        </w:rPr>
        <w:t>n “A Todo Trigo” se realizó un repaso por los llamados cultivos de cobertura, que contribuyen a mejorar el ecosistema y al armado del sistema productivo.</w:t>
      </w:r>
      <w:bookmarkStart w:id="0" w:name="_GoBack"/>
      <w:bookmarkEnd w:id="0"/>
    </w:p>
    <w:p w:rsidR="000A4810" w:rsidRPr="000A4810" w:rsidRDefault="000A4810" w:rsidP="000A481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A4810">
        <w:rPr>
          <w:rFonts w:ascii="Tahoma" w:hAnsi="Tahoma" w:cs="Tahoma"/>
          <w:sz w:val="20"/>
          <w:szCs w:val="20"/>
        </w:rPr>
        <w:t xml:space="preserve">“Hay que celebrar que hayamos salida de la soja como única alternativa en todo el país. Hoy tenemos la posibilidad de producir distintos tipos de trigo, cebadas forrajeras o cervecera, e incluso apostar a la ganadería”, sintetizó Fidel </w:t>
      </w:r>
      <w:proofErr w:type="spellStart"/>
      <w:r w:rsidRPr="000A4810">
        <w:rPr>
          <w:rFonts w:ascii="Tahoma" w:hAnsi="Tahoma" w:cs="Tahoma"/>
          <w:sz w:val="20"/>
          <w:szCs w:val="20"/>
        </w:rPr>
        <w:t>Cortese</w:t>
      </w:r>
      <w:proofErr w:type="spellEnd"/>
      <w:r w:rsidRPr="000A4810">
        <w:rPr>
          <w:rFonts w:ascii="Tahoma" w:hAnsi="Tahoma" w:cs="Tahoma"/>
          <w:sz w:val="20"/>
          <w:szCs w:val="20"/>
        </w:rPr>
        <w:t>. El consultor fue orador de una de las charlas de “A Todo Trigo”, donde se realizó un repaso por los diferentes cultivos de cobertura invernales y los beneficios que traen aparejados para recuperar la capacidad productiva de los campos.</w:t>
      </w:r>
    </w:p>
    <w:p w:rsidR="000A4810" w:rsidRPr="000A4810" w:rsidRDefault="000A4810" w:rsidP="000A481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A4810">
        <w:rPr>
          <w:rFonts w:ascii="Tahoma" w:hAnsi="Tahoma" w:cs="Tahoma"/>
          <w:sz w:val="20"/>
          <w:szCs w:val="20"/>
        </w:rPr>
        <w:t xml:space="preserve">Rastrojo, materia orgánica, control de malezas, </w:t>
      </w:r>
      <w:proofErr w:type="spellStart"/>
      <w:r w:rsidRPr="000A4810">
        <w:rPr>
          <w:rFonts w:ascii="Tahoma" w:hAnsi="Tahoma" w:cs="Tahoma"/>
          <w:sz w:val="20"/>
          <w:szCs w:val="20"/>
        </w:rPr>
        <w:t>descompactación</w:t>
      </w:r>
      <w:proofErr w:type="spellEnd"/>
      <w:r w:rsidRPr="000A4810">
        <w:rPr>
          <w:rFonts w:ascii="Tahoma" w:hAnsi="Tahoma" w:cs="Tahoma"/>
          <w:sz w:val="20"/>
          <w:szCs w:val="20"/>
        </w:rPr>
        <w:t>, son muchos los aportes de los cultivos de invierno, que cumplen un rol fundamental para mantener la calidad del ambiente en el tiempo y otorgan sustentabilidad al sistema. “Son una herramienta que funciona y hay que animarse a usarla”, acotó Guillermo Peralta, del Conicet, que focalizó su exposición sobre los cambios físicos y químicos en el suelo asociados a este tipo de cultivos.</w:t>
      </w:r>
    </w:p>
    <w:p w:rsidR="000A4810" w:rsidRPr="000A4810" w:rsidRDefault="000A4810" w:rsidP="000A481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A4810">
        <w:rPr>
          <w:rFonts w:ascii="Tahoma" w:hAnsi="Tahoma" w:cs="Tahoma"/>
          <w:sz w:val="20"/>
          <w:szCs w:val="20"/>
        </w:rPr>
        <w:t xml:space="preserve">“Favorece mucho a la estructuración de los suelos. Primero, por la generación directa de poros, luego posibilita la liberación de carbono subterráneo y materia orgánica activa, y brinda un efecto extra que es la protección a través de la </w:t>
      </w:r>
      <w:proofErr w:type="spellStart"/>
      <w:r w:rsidRPr="000A4810">
        <w:rPr>
          <w:rFonts w:ascii="Tahoma" w:hAnsi="Tahoma" w:cs="Tahoma"/>
          <w:sz w:val="20"/>
          <w:szCs w:val="20"/>
        </w:rPr>
        <w:t>hidrofobisidad</w:t>
      </w:r>
      <w:proofErr w:type="spellEnd"/>
      <w:r w:rsidRPr="000A4810">
        <w:rPr>
          <w:rFonts w:ascii="Tahoma" w:hAnsi="Tahoma" w:cs="Tahoma"/>
          <w:sz w:val="20"/>
          <w:szCs w:val="20"/>
        </w:rPr>
        <w:t xml:space="preserve">”, explicó Peralta. El investigador añadió también que los cultivos de cobertura benefician la actividad microbiana, disminuye las pérdidas de nitrógeno y pueden estratificar nutrientes poco móviles como fosforo, potasio o magnesio. </w:t>
      </w:r>
    </w:p>
    <w:p w:rsidR="000A4810" w:rsidRPr="000A4810" w:rsidRDefault="000A4810" w:rsidP="000A481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A4810">
        <w:rPr>
          <w:rFonts w:ascii="Tahoma" w:hAnsi="Tahoma" w:cs="Tahoma"/>
          <w:sz w:val="20"/>
          <w:szCs w:val="20"/>
        </w:rPr>
        <w:t>“Para hacer buenos cultivos de servicio hay que cambiar el chip. Lo ideal es innovar y animarse a sembrar nuevos y distintos tipos de cultivos para tener una rotación óptima y diversificada”, lanzó Gervasio Piñeiro, también investigador del Conicet y profesor de la FAUBA. El especialista reveló que con ésta práctica se renueva información en el suelo, se contribuye al ecosistema y se mitiga el deterioro agrícola. “El suelo está vivo y hay que darle de comer con una dieta balanceada”, retrucó.</w:t>
      </w:r>
    </w:p>
    <w:p w:rsidR="000A4810" w:rsidRPr="000A4810" w:rsidRDefault="000A4810" w:rsidP="000A481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A4810">
        <w:rPr>
          <w:rFonts w:ascii="Tahoma" w:hAnsi="Tahoma" w:cs="Tahoma"/>
          <w:sz w:val="20"/>
          <w:szCs w:val="20"/>
        </w:rPr>
        <w:t xml:space="preserve">Piñeiro destacó que no trabajar los lotes en invierno significa una pérdida enorme y es un debate ya felizmente superado. La incorporación de cultivos como vicia, centeno, colza o rabanitos pueden ser rentables y además generan la posibilidad de producir más gastando menos. “Es como tener una caja de ahorro en el suelo. Debemos comenzar a mirar las raíces, ya que una buena parte del partido de la materia orgánica se juega ahí”, advirtió. </w:t>
      </w:r>
    </w:p>
    <w:p w:rsidR="000A4810" w:rsidRPr="000A4810" w:rsidRDefault="000A4810" w:rsidP="000A481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A4810">
        <w:rPr>
          <w:rFonts w:ascii="Tahoma" w:hAnsi="Tahoma" w:cs="Tahoma"/>
          <w:sz w:val="20"/>
          <w:szCs w:val="20"/>
        </w:rPr>
        <w:t xml:space="preserve">La opinión de Peralta también fue en ese sentido y sugirió que una mezcla o </w:t>
      </w:r>
      <w:proofErr w:type="spellStart"/>
      <w:r w:rsidRPr="000A4810">
        <w:rPr>
          <w:rFonts w:ascii="Tahoma" w:hAnsi="Tahoma" w:cs="Tahoma"/>
          <w:sz w:val="20"/>
          <w:szCs w:val="20"/>
        </w:rPr>
        <w:t>cocktail</w:t>
      </w:r>
      <w:proofErr w:type="spellEnd"/>
      <w:r w:rsidRPr="000A4810">
        <w:rPr>
          <w:rFonts w:ascii="Tahoma" w:hAnsi="Tahoma" w:cs="Tahoma"/>
          <w:sz w:val="20"/>
          <w:szCs w:val="20"/>
        </w:rPr>
        <w:t xml:space="preserve"> de cultivos invernales muchas veces da un mejor resultado que trabajar con el mismo cultivo de servicio. “Hay que tener consideraciones en cuanto a la elección de cada especie y tener en claro los objetivos. Porque muchas veces los productores tienen una mala experiencia en un lote y nunca más vuelven a sembrar este tipo de cultivos”, aseveró.</w:t>
      </w:r>
    </w:p>
    <w:p w:rsidR="000A4810" w:rsidRPr="000A4810" w:rsidRDefault="000A4810" w:rsidP="000A481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A4810">
        <w:rPr>
          <w:rFonts w:ascii="Tahoma" w:hAnsi="Tahoma" w:cs="Tahoma"/>
          <w:sz w:val="20"/>
          <w:szCs w:val="20"/>
        </w:rPr>
        <w:t xml:space="preserve">La cebada cervecera y forrajera también se pueden incluir en este armado. Allí </w:t>
      </w:r>
      <w:proofErr w:type="spellStart"/>
      <w:r w:rsidRPr="000A4810">
        <w:rPr>
          <w:rFonts w:ascii="Tahoma" w:hAnsi="Tahoma" w:cs="Tahoma"/>
          <w:sz w:val="20"/>
          <w:szCs w:val="20"/>
        </w:rPr>
        <w:t>Cortese</w:t>
      </w:r>
      <w:proofErr w:type="spellEnd"/>
      <w:r w:rsidRPr="000A4810">
        <w:rPr>
          <w:rFonts w:ascii="Tahoma" w:hAnsi="Tahoma" w:cs="Tahoma"/>
          <w:sz w:val="20"/>
          <w:szCs w:val="20"/>
        </w:rPr>
        <w:t xml:space="preserve"> comentó las características particulares de las distintas variedades disponibles en el mercado local. “La cebada es muy competitiva y se ha vuelto una alternativa muy interesante para el productor. No se trata ya de cultivos sustitutivos, porque ahora tenemos la posibilidad de acceder a mercados internacionales con la mejor relación insumo producto desde hace muchos años”, confirmó.</w:t>
      </w:r>
    </w:p>
    <w:p w:rsidR="000A4810" w:rsidRPr="000A4810" w:rsidRDefault="000A4810" w:rsidP="000A481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A4810">
        <w:rPr>
          <w:rFonts w:ascii="Tahoma" w:hAnsi="Tahoma" w:cs="Tahoma"/>
          <w:sz w:val="20"/>
          <w:szCs w:val="20"/>
        </w:rPr>
        <w:t>A su vez, el asesor señaló las bondades de la cebada cervecera de exportación que implica un mayor margen de ganancias: “Hay que tener en claro dónde vamos a vender el producto, porque en el mercado cervecero hay muchas exigencias”. Por su parte, si se opta por la cebada forrajera aconsejó no dejar de hacer monitoreo y manejo de enfermedades: “Nunca debemos pensar que podemos descuidar el tema sanitario con la cebada forrajera”.</w:t>
      </w:r>
    </w:p>
    <w:p w:rsidR="00A121BA" w:rsidRDefault="000A4810" w:rsidP="000A481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A4810">
        <w:rPr>
          <w:rFonts w:ascii="Tahoma" w:hAnsi="Tahoma" w:cs="Tahoma"/>
          <w:sz w:val="20"/>
          <w:szCs w:val="20"/>
        </w:rPr>
        <w:t xml:space="preserve">Por último, Miguel Mac </w:t>
      </w:r>
      <w:proofErr w:type="spellStart"/>
      <w:r w:rsidRPr="000A4810">
        <w:rPr>
          <w:rFonts w:ascii="Tahoma" w:hAnsi="Tahoma" w:cs="Tahoma"/>
          <w:sz w:val="20"/>
          <w:szCs w:val="20"/>
        </w:rPr>
        <w:t>Maney</w:t>
      </w:r>
      <w:proofErr w:type="spellEnd"/>
      <w:r w:rsidRPr="000A4810">
        <w:rPr>
          <w:rFonts w:ascii="Tahoma" w:hAnsi="Tahoma" w:cs="Tahoma"/>
          <w:sz w:val="20"/>
          <w:szCs w:val="20"/>
        </w:rPr>
        <w:t xml:space="preserve">, asesor en investigación y desarrollo, exploró las posibilidades del trigo candeal como otra alternativa para los cultivos de cobertura. “Es un cultivo muy atractivo que utiliza para hacer pastas secas </w:t>
      </w:r>
      <w:proofErr w:type="spellStart"/>
      <w:r w:rsidRPr="000A4810">
        <w:rPr>
          <w:rFonts w:ascii="Tahoma" w:hAnsi="Tahoma" w:cs="Tahoma"/>
          <w:sz w:val="20"/>
          <w:szCs w:val="20"/>
        </w:rPr>
        <w:t>premium</w:t>
      </w:r>
      <w:proofErr w:type="spellEnd"/>
      <w:r w:rsidRPr="000A4810">
        <w:rPr>
          <w:rFonts w:ascii="Tahoma" w:hAnsi="Tahoma" w:cs="Tahoma"/>
          <w:sz w:val="20"/>
          <w:szCs w:val="20"/>
        </w:rPr>
        <w:t>. Tiene ciertos atributos de calidad propios y distintivos, principalmente dados por la fuerza del gluten”, remarcó. El 85% de la producción del trigo candeal proviene del sudeste y sudoeste, mientras que el otro 15% en regiones del sur de Córdoba, centro y Sur de Buenos Aires y Tucumán.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B05ACF" w:rsidRDefault="00B05ACF" w:rsidP="00B05A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64FC5" w:rsidRDefault="00264FC5" w:rsidP="008138B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A67522" w:rsidRPr="005746BB" w:rsidRDefault="00A67522" w:rsidP="008138B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746BB">
        <w:rPr>
          <w:rFonts w:ascii="Tahoma" w:hAnsi="Tahoma" w:cs="Tahoma"/>
          <w:sz w:val="20"/>
          <w:szCs w:val="20"/>
        </w:rPr>
        <w:t xml:space="preserve">Más </w:t>
      </w:r>
      <w:proofErr w:type="spellStart"/>
      <w:r w:rsidRPr="005746BB">
        <w:rPr>
          <w:rFonts w:ascii="Tahoma" w:hAnsi="Tahoma" w:cs="Tahoma"/>
          <w:sz w:val="20"/>
          <w:szCs w:val="20"/>
        </w:rPr>
        <w:t>info</w:t>
      </w:r>
      <w:proofErr w:type="spellEnd"/>
      <w:r w:rsidRPr="005746BB">
        <w:rPr>
          <w:rFonts w:ascii="Tahoma" w:hAnsi="Tahoma" w:cs="Tahoma"/>
          <w:sz w:val="20"/>
          <w:szCs w:val="20"/>
        </w:rPr>
        <w:t xml:space="preserve"> en </w:t>
      </w:r>
      <w:hyperlink r:id="rId7" w:history="1">
        <w:r w:rsidRPr="005746BB">
          <w:rPr>
            <w:rStyle w:val="Hipervnculo"/>
            <w:rFonts w:ascii="Tahoma" w:hAnsi="Tahoma" w:cs="Tahoma"/>
            <w:sz w:val="20"/>
            <w:szCs w:val="20"/>
          </w:rPr>
          <w:t>www.atodotrigo.com.ar</w:t>
        </w:r>
      </w:hyperlink>
      <w:r w:rsidRPr="005746BB">
        <w:rPr>
          <w:rFonts w:ascii="Tahoma" w:hAnsi="Tahoma" w:cs="Tahoma"/>
          <w:sz w:val="20"/>
          <w:szCs w:val="20"/>
        </w:rPr>
        <w:t xml:space="preserve"> | T. @acopiadores | F. @</w:t>
      </w:r>
      <w:proofErr w:type="spellStart"/>
      <w:r w:rsidRPr="005746BB">
        <w:rPr>
          <w:rFonts w:ascii="Tahoma" w:hAnsi="Tahoma" w:cs="Tahoma"/>
          <w:sz w:val="20"/>
          <w:szCs w:val="20"/>
        </w:rPr>
        <w:t>atodo.trigo</w:t>
      </w:r>
      <w:proofErr w:type="spellEnd"/>
      <w:r w:rsidRPr="005746BB">
        <w:rPr>
          <w:rFonts w:ascii="Tahoma" w:hAnsi="Tahoma" w:cs="Tahoma"/>
          <w:sz w:val="20"/>
          <w:szCs w:val="20"/>
        </w:rPr>
        <w:t>/</w:t>
      </w:r>
    </w:p>
    <w:sectPr w:rsidR="00A67522" w:rsidRPr="005746BB" w:rsidSect="009B23BE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DE8" w:rsidRDefault="00751DE8" w:rsidP="002409D2">
      <w:pPr>
        <w:spacing w:after="0" w:line="240" w:lineRule="auto"/>
      </w:pPr>
      <w:r>
        <w:separator/>
      </w:r>
    </w:p>
  </w:endnote>
  <w:endnote w:type="continuationSeparator" w:id="0">
    <w:p w:rsidR="00751DE8" w:rsidRDefault="00751DE8" w:rsidP="0024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9D2" w:rsidRPr="006D1AB3" w:rsidRDefault="002409D2" w:rsidP="002409D2">
    <w:pPr>
      <w:pStyle w:val="Piedepgina"/>
      <w:tabs>
        <w:tab w:val="left" w:pos="555"/>
      </w:tabs>
      <w:jc w:val="right"/>
      <w:rPr>
        <w:rFonts w:ascii="Tahoma" w:hAnsi="Tahoma" w:cs="Tahoma"/>
        <w:color w:val="000000"/>
        <w:sz w:val="14"/>
        <w:szCs w:val="14"/>
      </w:rPr>
    </w:pPr>
    <w:r w:rsidRPr="006D1AB3">
      <w:rPr>
        <w:rFonts w:ascii="Tahoma" w:hAnsi="Tahoma" w:cs="Tahoma"/>
        <w:noProof/>
        <w:color w:val="000000"/>
        <w:sz w:val="14"/>
        <w:szCs w:val="14"/>
        <w:lang w:val="es-MX"/>
      </w:rPr>
      <w:t xml:space="preserve">Prensa: SAVIA Comunicación </w:t>
    </w:r>
  </w:p>
  <w:p w:rsidR="002409D2" w:rsidRPr="006D1AB3" w:rsidRDefault="002409D2" w:rsidP="002409D2">
    <w:pPr>
      <w:pStyle w:val="Piedepgina"/>
      <w:tabs>
        <w:tab w:val="left" w:pos="555"/>
      </w:tabs>
      <w:jc w:val="right"/>
      <w:rPr>
        <w:rFonts w:ascii="Tahoma" w:hAnsi="Tahoma" w:cs="Tahoma"/>
        <w:color w:val="000000"/>
        <w:sz w:val="14"/>
        <w:szCs w:val="14"/>
      </w:rPr>
    </w:pPr>
    <w:r w:rsidRPr="006D1AB3">
      <w:rPr>
        <w:rFonts w:ascii="Tahoma" w:hAnsi="Tahoma" w:cs="Tahoma"/>
        <w:noProof/>
        <w:color w:val="000000"/>
        <w:sz w:val="14"/>
        <w:szCs w:val="14"/>
        <w:lang w:val="es-MX"/>
      </w:rPr>
      <w:t xml:space="preserve"> Tel. 011 4545 7734 </w:t>
    </w:r>
    <w:r>
      <w:rPr>
        <w:rFonts w:ascii="Tahoma" w:hAnsi="Tahoma" w:cs="Tahoma"/>
        <w:noProof/>
        <w:color w:val="000000"/>
        <w:sz w:val="14"/>
        <w:szCs w:val="14"/>
        <w:lang w:val="es-MX"/>
      </w:rPr>
      <w:t xml:space="preserve">– 011 15 </w:t>
    </w:r>
    <w:r w:rsidR="001C6FE7">
      <w:rPr>
        <w:rFonts w:ascii="Tahoma" w:hAnsi="Tahoma" w:cs="Tahoma"/>
        <w:noProof/>
        <w:color w:val="000000"/>
        <w:sz w:val="14"/>
        <w:szCs w:val="14"/>
        <w:lang w:val="es-MX"/>
      </w:rPr>
      <w:t>6967 2255</w:t>
    </w:r>
    <w:r w:rsidRPr="006D1AB3">
      <w:rPr>
        <w:rFonts w:ascii="Tahoma" w:hAnsi="Tahoma" w:cs="Tahoma"/>
        <w:noProof/>
        <w:color w:val="000000"/>
        <w:sz w:val="14"/>
        <w:szCs w:val="14"/>
        <w:lang w:val="es-MX"/>
      </w:rPr>
      <w:t xml:space="preserve"> </w:t>
    </w:r>
    <w:hyperlink r:id="rId1" w:history="1">
      <w:r w:rsidRPr="006D1AB3">
        <w:rPr>
          <w:rFonts w:ascii="Tahoma" w:hAnsi="Tahoma" w:cs="Tahoma"/>
          <w:noProof/>
          <w:color w:val="000000"/>
          <w:sz w:val="14"/>
          <w:szCs w:val="14"/>
          <w:lang w:val="es-MX"/>
        </w:rPr>
        <w:t>prensa@saviacomunicacion.com.ar</w:t>
      </w:r>
    </w:hyperlink>
  </w:p>
  <w:p w:rsidR="002409D2" w:rsidRPr="006D1AB3" w:rsidRDefault="00751DE8" w:rsidP="002409D2">
    <w:pPr>
      <w:pStyle w:val="Piedepgina"/>
      <w:tabs>
        <w:tab w:val="left" w:pos="6450"/>
      </w:tabs>
      <w:jc w:val="right"/>
      <w:rPr>
        <w:rFonts w:ascii="Tahoma" w:hAnsi="Tahoma" w:cs="Tahoma"/>
        <w:noProof/>
        <w:color w:val="000000"/>
        <w:sz w:val="14"/>
        <w:szCs w:val="14"/>
        <w:lang w:val="es-MX"/>
      </w:rPr>
    </w:pPr>
    <w:hyperlink r:id="rId2" w:history="1">
      <w:r w:rsidR="002409D2" w:rsidRPr="006D1AB3">
        <w:rPr>
          <w:rFonts w:ascii="Tahoma" w:hAnsi="Tahoma" w:cs="Tahoma"/>
          <w:noProof/>
          <w:color w:val="000000"/>
          <w:sz w:val="14"/>
          <w:szCs w:val="14"/>
          <w:lang w:val="es-MX"/>
        </w:rPr>
        <w:t>www.saviacomunicacion.com.ar</w:t>
      </w:r>
    </w:hyperlink>
    <w:r w:rsidR="002409D2" w:rsidRPr="006D1AB3">
      <w:rPr>
        <w:rFonts w:ascii="Tahoma" w:hAnsi="Tahoma" w:cs="Tahoma"/>
        <w:noProof/>
        <w:color w:val="000000"/>
        <w:sz w:val="14"/>
        <w:szCs w:val="14"/>
        <w:lang w:val="es-MX"/>
      </w:rPr>
      <w:t xml:space="preserve">   </w:t>
    </w:r>
  </w:p>
  <w:p w:rsidR="002409D2" w:rsidRPr="002409D2" w:rsidRDefault="002409D2" w:rsidP="002409D2">
    <w:pPr>
      <w:pStyle w:val="Piedepgina"/>
      <w:tabs>
        <w:tab w:val="left" w:pos="6450"/>
      </w:tabs>
      <w:jc w:val="right"/>
      <w:rPr>
        <w:rFonts w:ascii="Tahoma" w:hAnsi="Tahoma" w:cs="Tahoma"/>
        <w:noProof/>
        <w:color w:val="000000"/>
        <w:sz w:val="14"/>
        <w:szCs w:val="14"/>
        <w:lang w:val="es-MX"/>
      </w:rPr>
    </w:pPr>
    <w:r>
      <w:rPr>
        <w:rFonts w:ascii="Tahoma" w:hAnsi="Tahoma" w:cs="Tahoma"/>
        <w:noProof/>
        <w:color w:val="000000"/>
        <w:sz w:val="14"/>
        <w:szCs w:val="14"/>
        <w:vertAlign w:val="subscript"/>
        <w:lang w:eastAsia="es-AR"/>
      </w:rPr>
      <w:drawing>
        <wp:inline distT="0" distB="0" distL="0" distR="0">
          <wp:extent cx="114300" cy="114300"/>
          <wp:effectExtent l="0" t="0" r="0" b="0"/>
          <wp:docPr id="3" name="Imagen 3" descr="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Faceboo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1AB3">
      <w:rPr>
        <w:rFonts w:ascii="Tahoma" w:hAnsi="Tahoma" w:cs="Tahoma"/>
        <w:noProof/>
        <w:color w:val="000000"/>
        <w:sz w:val="14"/>
        <w:szCs w:val="14"/>
        <w:lang w:val="es-MX"/>
      </w:rPr>
      <w:t xml:space="preserve"> savia.comunicacion </w:t>
    </w:r>
    <w:r>
      <w:rPr>
        <w:rFonts w:ascii="Tahoma" w:hAnsi="Tahoma" w:cs="Tahoma"/>
        <w:noProof/>
        <w:color w:val="000000"/>
        <w:sz w:val="14"/>
        <w:szCs w:val="14"/>
        <w:lang w:eastAsia="es-AR"/>
      </w:rPr>
      <w:drawing>
        <wp:inline distT="0" distB="0" distL="0" distR="0">
          <wp:extent cx="114300" cy="114300"/>
          <wp:effectExtent l="0" t="0" r="0" b="0"/>
          <wp:docPr id="2" name="Imagen 2" descr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Twitte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1AB3">
      <w:rPr>
        <w:rFonts w:ascii="Tahoma" w:hAnsi="Tahoma" w:cs="Tahoma"/>
        <w:noProof/>
        <w:color w:val="000000"/>
        <w:sz w:val="14"/>
        <w:szCs w:val="14"/>
        <w:lang w:val="es-MX"/>
      </w:rPr>
      <w:t xml:space="preserve"> @saviaprensa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DE8" w:rsidRDefault="00751DE8" w:rsidP="002409D2">
      <w:pPr>
        <w:spacing w:after="0" w:line="240" w:lineRule="auto"/>
      </w:pPr>
      <w:r>
        <w:separator/>
      </w:r>
    </w:p>
  </w:footnote>
  <w:footnote w:type="continuationSeparator" w:id="0">
    <w:p w:rsidR="00751DE8" w:rsidRDefault="00751DE8" w:rsidP="00240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9D2" w:rsidRDefault="008D6A6C" w:rsidP="003970F3">
    <w:pPr>
      <w:pStyle w:val="Encabezado"/>
      <w:jc w:val="center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2352675</wp:posOffset>
          </wp:positionH>
          <wp:positionV relativeFrom="paragraph">
            <wp:posOffset>-415925</wp:posOffset>
          </wp:positionV>
          <wp:extent cx="974725" cy="986790"/>
          <wp:effectExtent l="0" t="0" r="0" b="0"/>
          <wp:wrapTopAndBottom/>
          <wp:docPr id="1" name="Imagen 1" descr="Feder_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Feder_ch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970F3" w:rsidRDefault="003970F3" w:rsidP="003970F3">
    <w:pPr>
      <w:pStyle w:val="Encabezado"/>
      <w:jc w:val="center"/>
    </w:pPr>
  </w:p>
  <w:p w:rsidR="003970F3" w:rsidRDefault="003970F3" w:rsidP="003970F3">
    <w:pPr>
      <w:pStyle w:val="Encabezado"/>
      <w:jc w:val="center"/>
    </w:pPr>
    <w:r>
      <w:rPr>
        <w:b/>
        <w:noProof/>
        <w:u w:val="single"/>
        <w:lang w:eastAsia="es-AR"/>
      </w:rPr>
      <w:drawing>
        <wp:inline distT="0" distB="0" distL="0" distR="0">
          <wp:extent cx="2180674" cy="771525"/>
          <wp:effectExtent l="0" t="0" r="0" b="0"/>
          <wp:docPr id="4" name="Imagen 4" descr="C:\Users\Usuario\AppData\Local\Microsoft\Windows\INetCache\Content.Word\PPT A TODO TRIGO 2016-01 por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suario\AppData\Local\Microsoft\Windows\INetCache\Content.Word\PPT A TODO TRIGO 2016-01 portada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33" t="3251" r="25682" b="73275"/>
                  <a:stretch/>
                </pic:blipFill>
                <pic:spPr bwMode="auto">
                  <a:xfrm>
                    <a:off x="0" y="0"/>
                    <a:ext cx="2180117" cy="7713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0EA"/>
    <w:rsid w:val="000010EA"/>
    <w:rsid w:val="000338B0"/>
    <w:rsid w:val="00044FFF"/>
    <w:rsid w:val="00045BF4"/>
    <w:rsid w:val="00060508"/>
    <w:rsid w:val="0009420D"/>
    <w:rsid w:val="000949CD"/>
    <w:rsid w:val="000A4810"/>
    <w:rsid w:val="000B4E7F"/>
    <w:rsid w:val="000B58B3"/>
    <w:rsid w:val="000C3296"/>
    <w:rsid w:val="000C500C"/>
    <w:rsid w:val="000D7C4B"/>
    <w:rsid w:val="0011537E"/>
    <w:rsid w:val="001222C1"/>
    <w:rsid w:val="0013179D"/>
    <w:rsid w:val="001802D4"/>
    <w:rsid w:val="001A6E0C"/>
    <w:rsid w:val="001C6B4A"/>
    <w:rsid w:val="001C6FE7"/>
    <w:rsid w:val="00216842"/>
    <w:rsid w:val="002370E5"/>
    <w:rsid w:val="002409D2"/>
    <w:rsid w:val="00250681"/>
    <w:rsid w:val="00264FC5"/>
    <w:rsid w:val="00282FE8"/>
    <w:rsid w:val="002A0D5A"/>
    <w:rsid w:val="002A4B7C"/>
    <w:rsid w:val="002D0945"/>
    <w:rsid w:val="002D48D2"/>
    <w:rsid w:val="002E5768"/>
    <w:rsid w:val="002E6F4C"/>
    <w:rsid w:val="00307D99"/>
    <w:rsid w:val="00310B6F"/>
    <w:rsid w:val="00341625"/>
    <w:rsid w:val="00343BC6"/>
    <w:rsid w:val="00364620"/>
    <w:rsid w:val="00391DCB"/>
    <w:rsid w:val="003970F3"/>
    <w:rsid w:val="003A1F75"/>
    <w:rsid w:val="003A75DB"/>
    <w:rsid w:val="003B3001"/>
    <w:rsid w:val="003E1F1B"/>
    <w:rsid w:val="003F4291"/>
    <w:rsid w:val="003F5960"/>
    <w:rsid w:val="00410DB5"/>
    <w:rsid w:val="00425FC3"/>
    <w:rsid w:val="00434CC3"/>
    <w:rsid w:val="00453A6E"/>
    <w:rsid w:val="0046623B"/>
    <w:rsid w:val="00472366"/>
    <w:rsid w:val="00474EE5"/>
    <w:rsid w:val="00484231"/>
    <w:rsid w:val="004C1D30"/>
    <w:rsid w:val="004E1E75"/>
    <w:rsid w:val="004E34A7"/>
    <w:rsid w:val="004F54DB"/>
    <w:rsid w:val="00503B38"/>
    <w:rsid w:val="00515791"/>
    <w:rsid w:val="005258E7"/>
    <w:rsid w:val="00556EE4"/>
    <w:rsid w:val="00571488"/>
    <w:rsid w:val="005746BB"/>
    <w:rsid w:val="00580072"/>
    <w:rsid w:val="0058226A"/>
    <w:rsid w:val="005851AA"/>
    <w:rsid w:val="005A6C6A"/>
    <w:rsid w:val="005B353E"/>
    <w:rsid w:val="005D77DC"/>
    <w:rsid w:val="005E1EA8"/>
    <w:rsid w:val="00601D43"/>
    <w:rsid w:val="00635D66"/>
    <w:rsid w:val="006418FA"/>
    <w:rsid w:val="00641E66"/>
    <w:rsid w:val="00660621"/>
    <w:rsid w:val="00675323"/>
    <w:rsid w:val="00686E8C"/>
    <w:rsid w:val="006A157C"/>
    <w:rsid w:val="006B4ADA"/>
    <w:rsid w:val="006C5C82"/>
    <w:rsid w:val="006D3A6C"/>
    <w:rsid w:val="006F08EA"/>
    <w:rsid w:val="00706077"/>
    <w:rsid w:val="00736569"/>
    <w:rsid w:val="007366AA"/>
    <w:rsid w:val="00742BE3"/>
    <w:rsid w:val="0074536A"/>
    <w:rsid w:val="00747DB5"/>
    <w:rsid w:val="00751DE8"/>
    <w:rsid w:val="00752752"/>
    <w:rsid w:val="00754883"/>
    <w:rsid w:val="007572DD"/>
    <w:rsid w:val="00760EAB"/>
    <w:rsid w:val="00781B25"/>
    <w:rsid w:val="007915A5"/>
    <w:rsid w:val="007A4D45"/>
    <w:rsid w:val="007C2CA7"/>
    <w:rsid w:val="007D1E27"/>
    <w:rsid w:val="007E0BE6"/>
    <w:rsid w:val="007E7D63"/>
    <w:rsid w:val="0080218A"/>
    <w:rsid w:val="008138B8"/>
    <w:rsid w:val="0081672F"/>
    <w:rsid w:val="00824046"/>
    <w:rsid w:val="00831CD5"/>
    <w:rsid w:val="00854A45"/>
    <w:rsid w:val="00875C7E"/>
    <w:rsid w:val="0089390A"/>
    <w:rsid w:val="008B3999"/>
    <w:rsid w:val="008C2340"/>
    <w:rsid w:val="008D211E"/>
    <w:rsid w:val="008D4141"/>
    <w:rsid w:val="008D6A6C"/>
    <w:rsid w:val="008E5A1D"/>
    <w:rsid w:val="00900430"/>
    <w:rsid w:val="00901CCA"/>
    <w:rsid w:val="00932157"/>
    <w:rsid w:val="00951BF3"/>
    <w:rsid w:val="00954DFC"/>
    <w:rsid w:val="0096029A"/>
    <w:rsid w:val="00995F32"/>
    <w:rsid w:val="009A54BD"/>
    <w:rsid w:val="009B23BE"/>
    <w:rsid w:val="009B2AF6"/>
    <w:rsid w:val="009B3FD6"/>
    <w:rsid w:val="009C25AB"/>
    <w:rsid w:val="009C5BAA"/>
    <w:rsid w:val="009D11B0"/>
    <w:rsid w:val="00A121BA"/>
    <w:rsid w:val="00A141D8"/>
    <w:rsid w:val="00A168EE"/>
    <w:rsid w:val="00A2284F"/>
    <w:rsid w:val="00A31DF7"/>
    <w:rsid w:val="00A41EB6"/>
    <w:rsid w:val="00A67522"/>
    <w:rsid w:val="00A77CCF"/>
    <w:rsid w:val="00A8497F"/>
    <w:rsid w:val="00AD0966"/>
    <w:rsid w:val="00AD277B"/>
    <w:rsid w:val="00AD3159"/>
    <w:rsid w:val="00B05ACF"/>
    <w:rsid w:val="00B200A4"/>
    <w:rsid w:val="00B434C3"/>
    <w:rsid w:val="00B60429"/>
    <w:rsid w:val="00B65FDB"/>
    <w:rsid w:val="00B835B4"/>
    <w:rsid w:val="00BA6086"/>
    <w:rsid w:val="00BB1760"/>
    <w:rsid w:val="00BD33AD"/>
    <w:rsid w:val="00BD73D4"/>
    <w:rsid w:val="00BE057A"/>
    <w:rsid w:val="00BF4706"/>
    <w:rsid w:val="00C01AD7"/>
    <w:rsid w:val="00C14BA0"/>
    <w:rsid w:val="00C66D37"/>
    <w:rsid w:val="00C75396"/>
    <w:rsid w:val="00CB7BE9"/>
    <w:rsid w:val="00CC65D8"/>
    <w:rsid w:val="00D06AD4"/>
    <w:rsid w:val="00D12FD1"/>
    <w:rsid w:val="00D16FFE"/>
    <w:rsid w:val="00D2394F"/>
    <w:rsid w:val="00D309A9"/>
    <w:rsid w:val="00D35C8D"/>
    <w:rsid w:val="00D3791A"/>
    <w:rsid w:val="00D45716"/>
    <w:rsid w:val="00D91EE1"/>
    <w:rsid w:val="00D92E59"/>
    <w:rsid w:val="00DD53E7"/>
    <w:rsid w:val="00DE4E37"/>
    <w:rsid w:val="00E001A1"/>
    <w:rsid w:val="00E025ED"/>
    <w:rsid w:val="00E07FA0"/>
    <w:rsid w:val="00E366CC"/>
    <w:rsid w:val="00E50DF7"/>
    <w:rsid w:val="00E845D5"/>
    <w:rsid w:val="00EA33FC"/>
    <w:rsid w:val="00EC42C6"/>
    <w:rsid w:val="00EF01E6"/>
    <w:rsid w:val="00F01A91"/>
    <w:rsid w:val="00F06E8D"/>
    <w:rsid w:val="00F23A01"/>
    <w:rsid w:val="00F24952"/>
    <w:rsid w:val="00F26602"/>
    <w:rsid w:val="00F45679"/>
    <w:rsid w:val="00F47990"/>
    <w:rsid w:val="00F81D8A"/>
    <w:rsid w:val="00FA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3FA583-88AE-405A-AAA4-F34EC581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C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9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9D2"/>
  </w:style>
  <w:style w:type="paragraph" w:styleId="Piedepgina">
    <w:name w:val="footer"/>
    <w:basedOn w:val="Normal"/>
    <w:link w:val="PiedepginaCar"/>
    <w:uiPriority w:val="99"/>
    <w:unhideWhenUsed/>
    <w:rsid w:val="002409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9D2"/>
  </w:style>
  <w:style w:type="paragraph" w:styleId="Textodeglobo">
    <w:name w:val="Balloon Text"/>
    <w:basedOn w:val="Normal"/>
    <w:link w:val="TextodegloboCar"/>
    <w:uiPriority w:val="99"/>
    <w:semiHidden/>
    <w:unhideWhenUsed/>
    <w:rsid w:val="0024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9D2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4F54DB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C753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todotrigo.com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saviacomunicacion.com.ar" TargetMode="External"/><Relationship Id="rId1" Type="http://schemas.openxmlformats.org/officeDocument/2006/relationships/hyperlink" Target="mailto:prensa@saviacomunicacion.com.ar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0B25B-A900-44ED-BC9D-48E1E7B5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708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DE ACOPIADORES</Company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SAVIA</cp:lastModifiedBy>
  <cp:revision>39</cp:revision>
  <cp:lastPrinted>2018-01-17T16:04:00Z</cp:lastPrinted>
  <dcterms:created xsi:type="dcterms:W3CDTF">2018-05-02T18:55:00Z</dcterms:created>
  <dcterms:modified xsi:type="dcterms:W3CDTF">2018-05-11T19:48:00Z</dcterms:modified>
</cp:coreProperties>
</file>